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88EC9">
      <w:pPr>
        <w:pStyle w:val="3"/>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更正公告附件1</w:t>
      </w:r>
      <w:bookmarkStart w:id="0" w:name="_Toc9097"/>
    </w:p>
    <w:p w14:paraId="101D5EA6">
      <w:pPr>
        <w:pStyle w:val="3"/>
        <w:jc w:val="center"/>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第五章  评审方法与评审标准</w:t>
      </w:r>
      <w:bookmarkEnd w:id="0"/>
    </w:p>
    <w:p w14:paraId="4647A576">
      <w:pPr>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1.本项目采用</w:t>
      </w:r>
      <w:r>
        <w:rPr>
          <w:rFonts w:hint="eastAsia" w:ascii="宋体" w:hAnsi="宋体" w:cs="宋体"/>
          <w:b/>
          <w:bCs/>
          <w:sz w:val="24"/>
          <w:highlight w:val="none"/>
        </w:rPr>
        <w:t>综合评分法</w:t>
      </w:r>
      <w:r>
        <w:rPr>
          <w:rFonts w:hint="eastAsia" w:ascii="宋体" w:hAnsi="宋体" w:cs="宋体"/>
          <w:sz w:val="24"/>
          <w:highlight w:val="none"/>
        </w:rPr>
        <w:t>，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hint="eastAsia" w:ascii="宋体" w:hAnsi="宋体" w:cs="宋体"/>
          <w:spacing w:val="-6"/>
          <w:sz w:val="24"/>
          <w:highlight w:val="none"/>
        </w:rPr>
        <w:t>按评审后最终综合得分由高到低顺序排列名次，并</w:t>
      </w:r>
      <w:r>
        <w:rPr>
          <w:rFonts w:hint="eastAsia" w:ascii="宋体" w:hAnsi="宋体" w:cs="宋体"/>
          <w:sz w:val="24"/>
          <w:highlight w:val="none"/>
        </w:rPr>
        <w:t>推荐出成交候选人</w:t>
      </w:r>
      <w:r>
        <w:rPr>
          <w:rFonts w:hint="eastAsia" w:ascii="宋体" w:hAnsi="宋体" w:cs="宋体"/>
          <w:spacing w:val="-6"/>
          <w:sz w:val="24"/>
          <w:highlight w:val="none"/>
        </w:rPr>
        <w:t>。如得分相同的，按投标报价由低到高顺序</w:t>
      </w:r>
      <w:r>
        <w:rPr>
          <w:rFonts w:hint="eastAsia" w:ascii="宋体" w:hAnsi="宋体" w:cs="宋体"/>
          <w:sz w:val="24"/>
          <w:highlight w:val="none"/>
        </w:rPr>
        <w:t>推荐成交候选人。得分且报价相同的，由磋商小组按签到顺序抽签确定成交候选人。</w:t>
      </w:r>
    </w:p>
    <w:p w14:paraId="6C9D0158">
      <w:pPr>
        <w:pStyle w:val="6"/>
        <w:spacing w:line="400" w:lineRule="exact"/>
        <w:ind w:firstLine="480" w:firstLineChars="200"/>
        <w:rPr>
          <w:highlight w:val="none"/>
        </w:rPr>
      </w:pPr>
      <w:r>
        <w:rPr>
          <w:rFonts w:hint="eastAsia" w:hAnsi="宋体"/>
          <w:highlight w:val="none"/>
        </w:rPr>
        <w:t>2.评分标准如下：</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29"/>
        <w:gridCol w:w="731"/>
        <w:gridCol w:w="5790"/>
      </w:tblGrid>
      <w:tr w14:paraId="6BB0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392" w:type="pct"/>
            <w:vAlign w:val="center"/>
          </w:tcPr>
          <w:p w14:paraId="1C39EC2C">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780" w:type="pct"/>
            <w:vAlign w:val="center"/>
          </w:tcPr>
          <w:p w14:paraId="71BB878E">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评分因素</w:t>
            </w:r>
          </w:p>
        </w:tc>
        <w:tc>
          <w:tcPr>
            <w:tcW w:w="429" w:type="pct"/>
            <w:vAlign w:val="center"/>
          </w:tcPr>
          <w:p w14:paraId="45C081CA">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分值</w:t>
            </w:r>
          </w:p>
        </w:tc>
        <w:tc>
          <w:tcPr>
            <w:tcW w:w="3397" w:type="pct"/>
            <w:vAlign w:val="center"/>
          </w:tcPr>
          <w:p w14:paraId="3BC266BD">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评分标准</w:t>
            </w:r>
          </w:p>
        </w:tc>
      </w:tr>
      <w:tr w14:paraId="5F58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00" w:type="pct"/>
            <w:gridSpan w:val="4"/>
            <w:vAlign w:val="center"/>
          </w:tcPr>
          <w:p w14:paraId="29F24F3A">
            <w:pPr>
              <w:keepNext w:val="0"/>
              <w:keepLines w:val="0"/>
              <w:pageBreakBefore w:val="0"/>
              <w:kinsoku/>
              <w:wordWrap/>
              <w:overflowPunct/>
              <w:topLinePunct w:val="0"/>
              <w:bidi w:val="0"/>
              <w:snapToGrid w:val="0"/>
              <w:spacing w:line="360" w:lineRule="exact"/>
              <w:textAlignment w:val="auto"/>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价格分（</w:t>
            </w:r>
            <w:r>
              <w:rPr>
                <w:rFonts w:hint="eastAsia" w:asciiTheme="minorEastAsia" w:hAnsiTheme="minorEastAsia" w:cstheme="minorEastAsia"/>
                <w:b/>
                <w:sz w:val="24"/>
                <w:highlight w:val="none"/>
                <w:lang w:val="en-US" w:eastAsia="zh-CN"/>
              </w:rPr>
              <w:t>50</w:t>
            </w:r>
            <w:r>
              <w:rPr>
                <w:rFonts w:hint="eastAsia" w:asciiTheme="minorEastAsia" w:hAnsiTheme="minorEastAsia" w:eastAsiaTheme="minorEastAsia" w:cstheme="minorEastAsia"/>
                <w:b/>
                <w:sz w:val="24"/>
                <w:highlight w:val="none"/>
              </w:rPr>
              <w:t>分）</w:t>
            </w:r>
          </w:p>
        </w:tc>
      </w:tr>
      <w:tr w14:paraId="4D67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92" w:type="pct"/>
            <w:vAlign w:val="center"/>
          </w:tcPr>
          <w:p w14:paraId="6472DE66">
            <w:pPr>
              <w:keepNext w:val="0"/>
              <w:keepLines w:val="0"/>
              <w:pageBreakBefore w:val="0"/>
              <w:kinsoku/>
              <w:wordWrap/>
              <w:overflowPunct/>
              <w:topLinePunct w:val="0"/>
              <w:bidi w:val="0"/>
              <w:snapToGrid w:val="0"/>
              <w:spacing w:line="360" w:lineRule="exact"/>
              <w:ind w:firstLine="28"/>
              <w:jc w:val="center"/>
              <w:textAlignment w:val="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w:t>
            </w:r>
          </w:p>
        </w:tc>
        <w:tc>
          <w:tcPr>
            <w:tcW w:w="780" w:type="pct"/>
            <w:vAlign w:val="center"/>
          </w:tcPr>
          <w:p w14:paraId="32361330">
            <w:pPr>
              <w:keepNext w:val="0"/>
              <w:keepLines w:val="0"/>
              <w:pageBreakBefore w:val="0"/>
              <w:kinsoku/>
              <w:wordWrap/>
              <w:overflowPunct/>
              <w:topLinePunct w:val="0"/>
              <w:bidi w:val="0"/>
              <w:snapToGrid w:val="0"/>
              <w:spacing w:line="360" w:lineRule="exact"/>
              <w:ind w:firstLine="28"/>
              <w:jc w:val="center"/>
              <w:textAlignment w:val="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价格分</w:t>
            </w:r>
          </w:p>
        </w:tc>
        <w:tc>
          <w:tcPr>
            <w:tcW w:w="429" w:type="pct"/>
            <w:vAlign w:val="center"/>
          </w:tcPr>
          <w:p w14:paraId="7EDDC18F">
            <w:pPr>
              <w:keepNext w:val="0"/>
              <w:keepLines w:val="0"/>
              <w:pageBreakBefore w:val="0"/>
              <w:kinsoku/>
              <w:wordWrap/>
              <w:overflowPunct/>
              <w:topLinePunct w:val="0"/>
              <w:bidi w:val="0"/>
              <w:snapToGrid w:val="0"/>
              <w:spacing w:line="360" w:lineRule="exact"/>
              <w:ind w:firstLine="28"/>
              <w:jc w:val="center"/>
              <w:textAlignment w:val="auto"/>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cstheme="minorEastAsia"/>
                <w:bCs/>
                <w:sz w:val="24"/>
                <w:highlight w:val="none"/>
                <w:lang w:val="en-US" w:eastAsia="zh-CN"/>
              </w:rPr>
              <w:t>50</w:t>
            </w:r>
          </w:p>
        </w:tc>
        <w:tc>
          <w:tcPr>
            <w:tcW w:w="3397" w:type="pct"/>
            <w:vAlign w:val="center"/>
          </w:tcPr>
          <w:p w14:paraId="0E6D8F16">
            <w:pPr>
              <w:keepNext w:val="0"/>
              <w:keepLines w:val="0"/>
              <w:pageBreakBefore w:val="0"/>
              <w:kinsoku/>
              <w:wordWrap/>
              <w:overflowPunct/>
              <w:topLinePunct w:val="0"/>
              <w:bidi w:val="0"/>
              <w:snapToGrid w:val="0"/>
              <w:spacing w:line="360" w:lineRule="exac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满足磋商文件要求且最终报价最低的报价为评标基准价，其价格分为满分。其他供应商的价格分统一按照下列公式计算：</w:t>
            </w:r>
          </w:p>
          <w:p w14:paraId="74CFDD0F">
            <w:pPr>
              <w:keepNext w:val="0"/>
              <w:keepLines w:val="0"/>
              <w:pageBreakBefore w:val="0"/>
              <w:kinsoku/>
              <w:wordWrap/>
              <w:overflowPunct/>
              <w:topLinePunct w:val="0"/>
              <w:bidi w:val="0"/>
              <w:snapToGrid w:val="0"/>
              <w:spacing w:line="360" w:lineRule="exact"/>
              <w:textAlignment w:val="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价格分得分＝（评标基准价/最终报价）×分值。</w:t>
            </w:r>
          </w:p>
        </w:tc>
      </w:tr>
      <w:tr w14:paraId="04DB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4"/>
            <w:vAlign w:val="center"/>
          </w:tcPr>
          <w:p w14:paraId="5E701048">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24"/>
                <w:highlight w:val="none"/>
              </w:rPr>
              <w:t>主观分（</w:t>
            </w:r>
            <w:r>
              <w:rPr>
                <w:rFonts w:hint="eastAsia" w:asciiTheme="minorEastAsia" w:hAnsiTheme="minorEastAsia" w:cstheme="minorEastAsia"/>
                <w:b/>
                <w:sz w:val="24"/>
                <w:highlight w:val="none"/>
                <w:lang w:val="en-US" w:eastAsia="zh-CN"/>
              </w:rPr>
              <w:t>31</w:t>
            </w:r>
            <w:r>
              <w:rPr>
                <w:rFonts w:hint="eastAsia" w:asciiTheme="minorEastAsia" w:hAnsiTheme="minorEastAsia" w:eastAsiaTheme="minorEastAsia" w:cstheme="minorEastAsia"/>
                <w:b/>
                <w:sz w:val="24"/>
                <w:highlight w:val="none"/>
              </w:rPr>
              <w:t>分）</w:t>
            </w:r>
          </w:p>
        </w:tc>
      </w:tr>
      <w:tr w14:paraId="4657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392" w:type="pct"/>
            <w:vAlign w:val="center"/>
          </w:tcPr>
          <w:p w14:paraId="56938ECB">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w:t>
            </w:r>
          </w:p>
        </w:tc>
        <w:tc>
          <w:tcPr>
            <w:tcW w:w="780" w:type="pct"/>
            <w:vAlign w:val="center"/>
          </w:tcPr>
          <w:p w14:paraId="74B3470A">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项目实施方案</w:t>
            </w:r>
          </w:p>
        </w:tc>
        <w:tc>
          <w:tcPr>
            <w:tcW w:w="429" w:type="pct"/>
            <w:vAlign w:val="center"/>
          </w:tcPr>
          <w:p w14:paraId="429E6CB1">
            <w:pPr>
              <w:pStyle w:val="7"/>
              <w:keepNext w:val="0"/>
              <w:keepLines w:val="0"/>
              <w:pageBreakBefore w:val="0"/>
              <w:kinsoku/>
              <w:wordWrap/>
              <w:overflowPunct/>
              <w:topLinePunct w:val="0"/>
              <w:bidi w:val="0"/>
              <w:spacing w:line="360" w:lineRule="exact"/>
              <w:jc w:val="center"/>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w:t>
            </w:r>
          </w:p>
        </w:tc>
        <w:tc>
          <w:tcPr>
            <w:tcW w:w="3397" w:type="pct"/>
            <w:vAlign w:val="center"/>
          </w:tcPr>
          <w:p w14:paraId="09307968">
            <w:pPr>
              <w:keepNext w:val="0"/>
              <w:keepLines w:val="0"/>
              <w:pageBreakBefore w:val="0"/>
              <w:widowControl/>
              <w:tabs>
                <w:tab w:val="left" w:pos="426"/>
              </w:tabs>
              <w:kinsoku/>
              <w:wordWrap/>
              <w:overflowPunct/>
              <w:topLinePunct w:val="0"/>
              <w:autoSpaceDE w:val="0"/>
              <w:autoSpaceDN w:val="0"/>
              <w:bidi w:val="0"/>
              <w:adjustRightInd w:val="0"/>
              <w:spacing w:line="360" w:lineRule="exac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实施方案全面完善、科学合理、专业性强、可操作性强，得</w:t>
            </w:r>
            <w:r>
              <w:rPr>
                <w:rFonts w:hint="eastAsia" w:asciiTheme="minorEastAsia" w:hAnsi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分；方案基本完善、科学合理、可操作性一般的得</w:t>
            </w:r>
            <w:r>
              <w:rPr>
                <w:rFonts w:hint="eastAsia" w:asciiTheme="minorEastAsia" w:hAnsi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分；仅作简单描述，合理性、可行性差得</w:t>
            </w:r>
            <w:r>
              <w:rPr>
                <w:rFonts w:hint="eastAsia" w:asciiTheme="minorEastAsia" w:hAnsi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bCs/>
                <w:sz w:val="24"/>
                <w:highlight w:val="none"/>
              </w:rPr>
              <w:t>未提供方案不得分。</w:t>
            </w:r>
          </w:p>
        </w:tc>
      </w:tr>
      <w:tr w14:paraId="7244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392" w:type="pct"/>
            <w:vAlign w:val="center"/>
          </w:tcPr>
          <w:p w14:paraId="01DEC6A4">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w:t>
            </w:r>
          </w:p>
        </w:tc>
        <w:tc>
          <w:tcPr>
            <w:tcW w:w="780" w:type="pct"/>
            <w:vAlign w:val="center"/>
          </w:tcPr>
          <w:p w14:paraId="6D0D9E10">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项目组织结构</w:t>
            </w:r>
          </w:p>
        </w:tc>
        <w:tc>
          <w:tcPr>
            <w:tcW w:w="429" w:type="pct"/>
            <w:vAlign w:val="center"/>
          </w:tcPr>
          <w:p w14:paraId="460F717D">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3397" w:type="pct"/>
            <w:vAlign w:val="center"/>
          </w:tcPr>
          <w:p w14:paraId="13354AF2">
            <w:pPr>
              <w:keepNext w:val="0"/>
              <w:keepLines w:val="0"/>
              <w:pageBreakBefore w:val="0"/>
              <w:widowControl/>
              <w:tabs>
                <w:tab w:val="left" w:pos="426"/>
              </w:tabs>
              <w:kinsoku/>
              <w:wordWrap/>
              <w:overflowPunct/>
              <w:topLinePunct w:val="0"/>
              <w:autoSpaceDE w:val="0"/>
              <w:autoSpaceDN w:val="0"/>
              <w:bidi w:val="0"/>
              <w:adjustRightInd w:val="0"/>
              <w:spacing w:line="360" w:lineRule="exac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组织结构明晰、人员投入充足，成员职责明确，技术实力可靠，得5分；组织结构描述一般，人员投入基本充足、职责相对明确、实力基本可靠，得3分；组织机构不够明晰、人员投入不足、职责不够明确、实力较差，得1分。</w:t>
            </w:r>
            <w:r>
              <w:rPr>
                <w:rFonts w:hint="eastAsia" w:asciiTheme="minorEastAsia" w:hAnsiTheme="minorEastAsia" w:eastAsiaTheme="minorEastAsia" w:cstheme="minorEastAsia"/>
                <w:bCs/>
                <w:sz w:val="24"/>
                <w:highlight w:val="none"/>
              </w:rPr>
              <w:t>未提供方案不得分。</w:t>
            </w:r>
          </w:p>
        </w:tc>
      </w:tr>
      <w:tr w14:paraId="2195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392" w:type="pct"/>
            <w:vAlign w:val="center"/>
          </w:tcPr>
          <w:p w14:paraId="4FA21119">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w:t>
            </w:r>
          </w:p>
        </w:tc>
        <w:tc>
          <w:tcPr>
            <w:tcW w:w="780" w:type="pct"/>
            <w:vAlign w:val="center"/>
          </w:tcPr>
          <w:p w14:paraId="6F22010C">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档案管理制度</w:t>
            </w:r>
          </w:p>
        </w:tc>
        <w:tc>
          <w:tcPr>
            <w:tcW w:w="429" w:type="pct"/>
            <w:vAlign w:val="center"/>
          </w:tcPr>
          <w:p w14:paraId="4DCE1A86">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3397" w:type="pct"/>
            <w:vAlign w:val="center"/>
          </w:tcPr>
          <w:p w14:paraId="5AAD4750">
            <w:pPr>
              <w:keepNext w:val="0"/>
              <w:keepLines w:val="0"/>
              <w:pageBreakBefore w:val="0"/>
              <w:tabs>
                <w:tab w:val="left" w:pos="426"/>
              </w:tabs>
              <w:kinsoku/>
              <w:wordWrap/>
              <w:overflowPunct/>
              <w:topLinePunct w:val="0"/>
              <w:autoSpaceDE w:val="0"/>
              <w:autoSpaceDN w:val="0"/>
              <w:bidi w:val="0"/>
              <w:adjustRightInd w:val="0"/>
              <w:spacing w:line="360" w:lineRule="exac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Cs/>
                <w:kern w:val="0"/>
                <w:sz w:val="24"/>
                <w:highlight w:val="none"/>
              </w:rPr>
              <w:t>供应商提供案件的档案管理制度：管理制度内容全面完整、对应的保障措施切实可行的得5分；管理制度内容较齐全、对应的保障措施合理可行的得3分；管理制度简单、内容有欠缺、保障措施可行性差的得1分；</w:t>
            </w:r>
            <w:r>
              <w:rPr>
                <w:rFonts w:hint="eastAsia" w:asciiTheme="minorEastAsia" w:hAnsiTheme="minorEastAsia" w:eastAsiaTheme="minorEastAsia" w:cstheme="minorEastAsia"/>
                <w:bCs/>
                <w:sz w:val="24"/>
                <w:highlight w:val="none"/>
              </w:rPr>
              <w:t>未提供方案不得分。</w:t>
            </w:r>
          </w:p>
        </w:tc>
      </w:tr>
      <w:tr w14:paraId="6064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92" w:type="pct"/>
            <w:vAlign w:val="center"/>
          </w:tcPr>
          <w:p w14:paraId="4F1BD5FD">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w:t>
            </w:r>
          </w:p>
        </w:tc>
        <w:tc>
          <w:tcPr>
            <w:tcW w:w="780" w:type="pct"/>
            <w:vAlign w:val="center"/>
          </w:tcPr>
          <w:p w14:paraId="212AAEF3">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安全保密制度</w:t>
            </w:r>
          </w:p>
        </w:tc>
        <w:tc>
          <w:tcPr>
            <w:tcW w:w="429" w:type="pct"/>
            <w:vAlign w:val="center"/>
          </w:tcPr>
          <w:p w14:paraId="2FD0680A">
            <w:pPr>
              <w:pStyle w:val="7"/>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color w:val="auto"/>
                <w:highlight w:val="none"/>
                <w:lang w:val="en-US" w:eastAsia="zh-CN"/>
              </w:rPr>
              <w:t>5</w:t>
            </w:r>
          </w:p>
        </w:tc>
        <w:tc>
          <w:tcPr>
            <w:tcW w:w="3397" w:type="pct"/>
            <w:vAlign w:val="center"/>
          </w:tcPr>
          <w:p w14:paraId="74B2356C">
            <w:pPr>
              <w:pStyle w:val="7"/>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根据供应商提供的针对本项目案件咨询人员在工作过程中提供的安全保密制度、方案等，考察其是否科学、合理、切合实际。制度合理性、科学性、可操作性高的得</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分；制度合理性、科学性、可操作性较高的得</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分；制度合理性、科学性、可操作性一般的得</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bCs/>
                <w:color w:val="auto"/>
                <w:highlight w:val="none"/>
              </w:rPr>
              <w:t>未提供方案不得分。</w:t>
            </w:r>
          </w:p>
        </w:tc>
      </w:tr>
      <w:tr w14:paraId="17B4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92" w:type="pct"/>
            <w:vAlign w:val="center"/>
          </w:tcPr>
          <w:p w14:paraId="15EFF387">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2.5</w:t>
            </w:r>
          </w:p>
        </w:tc>
        <w:tc>
          <w:tcPr>
            <w:tcW w:w="780" w:type="pct"/>
            <w:vAlign w:val="center"/>
          </w:tcPr>
          <w:p w14:paraId="6FC87EAD">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应急处理方案</w:t>
            </w:r>
          </w:p>
        </w:tc>
        <w:tc>
          <w:tcPr>
            <w:tcW w:w="429" w:type="pct"/>
            <w:vAlign w:val="center"/>
          </w:tcPr>
          <w:p w14:paraId="5E264AD3">
            <w:pPr>
              <w:pStyle w:val="7"/>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color w:val="auto"/>
                <w:highlight w:val="none"/>
                <w:lang w:val="en-US" w:eastAsia="zh-CN"/>
              </w:rPr>
              <w:t>5</w:t>
            </w:r>
          </w:p>
        </w:tc>
        <w:tc>
          <w:tcPr>
            <w:tcW w:w="3397" w:type="pct"/>
            <w:vAlign w:val="center"/>
          </w:tcPr>
          <w:p w14:paraId="02FD4C99">
            <w:pPr>
              <w:pStyle w:val="7"/>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根据供应商提供的在整个咨询服务过程中突发的各种异常情况的应急处理方案进行综合评定，方案详细完善、科学合理、可行性高的得</w:t>
            </w: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分；方案较完善、较合理、可行性一般的得</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分；方案有所欠缺、可行性差的得</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分；未提供方案不得分。</w:t>
            </w:r>
          </w:p>
        </w:tc>
      </w:tr>
      <w:tr w14:paraId="6243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92" w:type="pct"/>
            <w:vAlign w:val="center"/>
          </w:tcPr>
          <w:p w14:paraId="5D77CF43">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w:t>
            </w:r>
          </w:p>
        </w:tc>
        <w:tc>
          <w:tcPr>
            <w:tcW w:w="780" w:type="pct"/>
            <w:vAlign w:val="center"/>
          </w:tcPr>
          <w:p w14:paraId="63CED4F1">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成果内容</w:t>
            </w:r>
          </w:p>
        </w:tc>
        <w:tc>
          <w:tcPr>
            <w:tcW w:w="429" w:type="pct"/>
            <w:vAlign w:val="center"/>
          </w:tcPr>
          <w:p w14:paraId="75E214E1">
            <w:pPr>
              <w:pStyle w:val="7"/>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color w:val="auto"/>
                <w:highlight w:val="none"/>
                <w:lang w:val="en-US" w:eastAsia="zh-CN"/>
              </w:rPr>
              <w:t>3</w:t>
            </w:r>
          </w:p>
        </w:tc>
        <w:tc>
          <w:tcPr>
            <w:tcW w:w="3397" w:type="pct"/>
            <w:vAlign w:val="center"/>
          </w:tcPr>
          <w:p w14:paraId="7E96B635">
            <w:pPr>
              <w:pStyle w:val="7"/>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成果内容设定科学、完整、深入、满足项目需求得</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分；成果内容设定不够完善，但基本能满足项目需求得</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分；成果内容设定简单、不能很好满足项目需求得</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bCs/>
                <w:color w:val="auto"/>
                <w:highlight w:val="none"/>
              </w:rPr>
              <w:t>未提供方案不得分。</w:t>
            </w:r>
          </w:p>
        </w:tc>
      </w:tr>
      <w:tr w14:paraId="7C2E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2" w:type="pct"/>
            <w:vAlign w:val="center"/>
          </w:tcPr>
          <w:p w14:paraId="20FB596D">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w:t>
            </w:r>
          </w:p>
        </w:tc>
        <w:tc>
          <w:tcPr>
            <w:tcW w:w="780" w:type="pct"/>
            <w:vAlign w:val="center"/>
          </w:tcPr>
          <w:p w14:paraId="04EE0537">
            <w:pPr>
              <w:pStyle w:val="7"/>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售后服务响应</w:t>
            </w:r>
          </w:p>
        </w:tc>
        <w:tc>
          <w:tcPr>
            <w:tcW w:w="429" w:type="pct"/>
            <w:vAlign w:val="center"/>
          </w:tcPr>
          <w:p w14:paraId="26BB4437">
            <w:pPr>
              <w:pStyle w:val="7"/>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color w:val="auto"/>
                <w:highlight w:val="none"/>
                <w:lang w:val="en-US" w:eastAsia="zh-CN"/>
              </w:rPr>
              <w:t>3</w:t>
            </w:r>
          </w:p>
        </w:tc>
        <w:tc>
          <w:tcPr>
            <w:tcW w:w="3397" w:type="pct"/>
            <w:vAlign w:val="center"/>
          </w:tcPr>
          <w:p w14:paraId="54A19DA1">
            <w:pPr>
              <w:keepNext w:val="0"/>
              <w:keepLines w:val="0"/>
              <w:pageBreakBefore w:val="0"/>
              <w:kinsoku/>
              <w:wordWrap/>
              <w:overflowPunct/>
              <w:topLinePunct w:val="0"/>
              <w:bidi w:val="0"/>
              <w:adjustRightInd w:val="0"/>
              <w:snapToGrid w:val="0"/>
              <w:spacing w:line="360" w:lineRule="exact"/>
              <w:textAlignment w:val="auto"/>
              <w:rPr>
                <w:rFonts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sz w:val="24"/>
                <w:highlight w:val="none"/>
              </w:rPr>
              <w:t>根据供应商提供的针对快速响应采购人服务要求（如沟通协调的能力及快速响应能力）的措施或承诺，评委综合打分：</w:t>
            </w:r>
            <w:r>
              <w:rPr>
                <w:rFonts w:hint="eastAsia" w:asciiTheme="minorEastAsia" w:hAnsiTheme="minorEastAsia" w:eastAsiaTheme="minorEastAsia" w:cstheme="minorEastAsia"/>
                <w:bCs/>
                <w:kern w:val="0"/>
                <w:sz w:val="24"/>
                <w:highlight w:val="none"/>
              </w:rPr>
              <w:t>内容完善，详细且切实可行、符合本项目特点的得</w:t>
            </w:r>
            <w:r>
              <w:rPr>
                <w:rFonts w:hint="eastAsia" w:asciiTheme="minorEastAsia" w:hAnsiTheme="minorEastAsia" w:cstheme="minorEastAsia"/>
                <w:bCs/>
                <w:kern w:val="0"/>
                <w:sz w:val="24"/>
                <w:highlight w:val="none"/>
                <w:lang w:val="en-US" w:eastAsia="zh-CN"/>
              </w:rPr>
              <w:t>3</w:t>
            </w:r>
            <w:r>
              <w:rPr>
                <w:rFonts w:hint="eastAsia" w:asciiTheme="minorEastAsia" w:hAnsiTheme="minorEastAsia" w:eastAsiaTheme="minorEastAsia" w:cstheme="minorEastAsia"/>
                <w:bCs/>
                <w:kern w:val="0"/>
                <w:sz w:val="24"/>
                <w:highlight w:val="none"/>
              </w:rPr>
              <w:t>分；描述基本完整可行的得</w:t>
            </w:r>
            <w:r>
              <w:rPr>
                <w:rFonts w:hint="eastAsia" w:asciiTheme="minorEastAsia" w:hAnsiTheme="minorEastAsia" w:cstheme="minorEastAsia"/>
                <w:bCs/>
                <w:kern w:val="0"/>
                <w:sz w:val="24"/>
                <w:highlight w:val="none"/>
                <w:lang w:val="en-US" w:eastAsia="zh-CN"/>
              </w:rPr>
              <w:t>2</w:t>
            </w:r>
            <w:r>
              <w:rPr>
                <w:rFonts w:hint="eastAsia" w:asciiTheme="minorEastAsia" w:hAnsiTheme="minorEastAsia" w:eastAsiaTheme="minorEastAsia" w:cstheme="minorEastAsia"/>
                <w:bCs/>
                <w:kern w:val="0"/>
                <w:sz w:val="24"/>
                <w:highlight w:val="none"/>
              </w:rPr>
              <w:t>分；针对性欠缺、描述</w:t>
            </w:r>
            <w:r>
              <w:rPr>
                <w:rFonts w:hint="eastAsia" w:asciiTheme="minorEastAsia" w:hAnsiTheme="minorEastAsia" w:cstheme="minorEastAsia"/>
                <w:bCs/>
                <w:kern w:val="0"/>
                <w:sz w:val="24"/>
                <w:highlight w:val="none"/>
                <w:lang w:val="en-US" w:eastAsia="zh-CN"/>
              </w:rPr>
              <w:t>简单，可行性较差得1分</w:t>
            </w:r>
            <w:r>
              <w:rPr>
                <w:rFonts w:hint="eastAsia" w:asciiTheme="minorEastAsia" w:hAnsiTheme="minorEastAsia" w:eastAsiaTheme="minorEastAsia" w:cstheme="minorEastAsia"/>
                <w:bCs/>
                <w:kern w:val="0"/>
                <w:sz w:val="24"/>
                <w:highlight w:val="none"/>
              </w:rPr>
              <w:t>。</w:t>
            </w:r>
            <w:r>
              <w:rPr>
                <w:rFonts w:hint="eastAsia" w:asciiTheme="minorEastAsia" w:hAnsiTheme="minorEastAsia" w:eastAsiaTheme="minorEastAsia" w:cstheme="minorEastAsia"/>
                <w:bCs/>
                <w:sz w:val="24"/>
                <w:highlight w:val="none"/>
              </w:rPr>
              <w:t>未提供方案不得分。</w:t>
            </w:r>
          </w:p>
        </w:tc>
      </w:tr>
      <w:tr w14:paraId="2D2D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4"/>
            <w:vAlign w:val="center"/>
          </w:tcPr>
          <w:p w14:paraId="65BAFC06">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客观分（</w:t>
            </w:r>
            <w:r>
              <w:rPr>
                <w:rFonts w:hint="eastAsia" w:asciiTheme="minorEastAsia" w:hAnsiTheme="minorEastAsia" w:cstheme="minorEastAsia"/>
                <w:b/>
                <w:bCs/>
                <w:sz w:val="24"/>
                <w:highlight w:val="none"/>
                <w:lang w:val="en-US" w:eastAsia="zh-CN"/>
              </w:rPr>
              <w:t>19</w:t>
            </w:r>
            <w:r>
              <w:rPr>
                <w:rFonts w:hint="eastAsia" w:asciiTheme="minorEastAsia" w:hAnsiTheme="minorEastAsia" w:eastAsiaTheme="minorEastAsia" w:cstheme="minorEastAsia"/>
                <w:b/>
                <w:bCs/>
                <w:sz w:val="24"/>
                <w:highlight w:val="none"/>
              </w:rPr>
              <w:t>分）</w:t>
            </w:r>
          </w:p>
        </w:tc>
      </w:tr>
      <w:tr w14:paraId="2F6F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92" w:type="pct"/>
            <w:vAlign w:val="center"/>
          </w:tcPr>
          <w:p w14:paraId="16CDB42A">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w:t>
            </w:r>
          </w:p>
        </w:tc>
        <w:tc>
          <w:tcPr>
            <w:tcW w:w="780" w:type="pct"/>
            <w:vAlign w:val="center"/>
          </w:tcPr>
          <w:p w14:paraId="5EECA609">
            <w:pPr>
              <w:keepNext w:val="0"/>
              <w:keepLines w:val="0"/>
              <w:pageBreakBefore w:val="0"/>
              <w:kinsoku/>
              <w:wordWrap/>
              <w:overflowPunct/>
              <w:topLinePunct w:val="0"/>
              <w:bidi w:val="0"/>
              <w:spacing w:line="360" w:lineRule="exact"/>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业绩</w:t>
            </w:r>
          </w:p>
        </w:tc>
        <w:tc>
          <w:tcPr>
            <w:tcW w:w="429" w:type="pct"/>
            <w:vAlign w:val="center"/>
          </w:tcPr>
          <w:p w14:paraId="54BF3A7B">
            <w:pPr>
              <w:keepNext w:val="0"/>
              <w:keepLines w:val="0"/>
              <w:pageBreakBefore w:val="0"/>
              <w:kinsoku/>
              <w:wordWrap/>
              <w:overflowPunct/>
              <w:topLinePunct w:val="0"/>
              <w:bidi w:val="0"/>
              <w:spacing w:line="360" w:lineRule="exact"/>
              <w:ind w:firstLine="28"/>
              <w:jc w:val="center"/>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cstheme="minorEastAsia"/>
                <w:sz w:val="24"/>
                <w:highlight w:val="none"/>
                <w:lang w:val="en-US" w:eastAsia="zh-CN"/>
              </w:rPr>
              <w:t>10</w:t>
            </w:r>
          </w:p>
        </w:tc>
        <w:tc>
          <w:tcPr>
            <w:tcW w:w="3397" w:type="pct"/>
            <w:vAlign w:val="center"/>
          </w:tcPr>
          <w:p w14:paraId="195B8E9D">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供应商近三年（自磋商公告发布之日起往前推算）以来具有与本项目相关的“生态环境损害赔偿评估”类项目业绩的 ，每有一个得</w:t>
            </w:r>
            <w:r>
              <w:rPr>
                <w:rFonts w:hint="eastAsia" w:asciiTheme="minorEastAsia" w:hAnsi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分，本项最高</w:t>
            </w:r>
            <w:r>
              <w:rPr>
                <w:rFonts w:hint="eastAsia" w:asciiTheme="minorEastAsia" w:hAnsi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 xml:space="preserve">分。 </w:t>
            </w:r>
            <w:r>
              <w:rPr>
                <w:rFonts w:hint="eastAsia" w:asciiTheme="minorEastAsia" w:hAnsiTheme="minorEastAsia" w:eastAsiaTheme="minorEastAsia" w:cstheme="minorEastAsia"/>
                <w:b/>
                <w:bCs/>
                <w:sz w:val="24"/>
                <w:highlight w:val="none"/>
              </w:rPr>
              <w:t>响应文件提供合同复印件（以合同签订时间为准）并加盖供应商公章，否则不得分。</w:t>
            </w:r>
          </w:p>
        </w:tc>
      </w:tr>
      <w:tr w14:paraId="070B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44C5A0B">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w:t>
            </w:r>
          </w:p>
        </w:tc>
        <w:tc>
          <w:tcPr>
            <w:tcW w:w="780" w:type="pct"/>
            <w:vAlign w:val="center"/>
          </w:tcPr>
          <w:p w14:paraId="69891409">
            <w:pPr>
              <w:keepNext w:val="0"/>
              <w:keepLines w:val="0"/>
              <w:pageBreakBefore w:val="0"/>
              <w:kinsoku/>
              <w:wordWrap/>
              <w:overflowPunct/>
              <w:topLinePunct w:val="0"/>
              <w:bidi w:val="0"/>
              <w:spacing w:line="360" w:lineRule="exact"/>
              <w:ind w:firstLine="28"/>
              <w:jc w:val="center"/>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团队实力</w:t>
            </w:r>
          </w:p>
        </w:tc>
        <w:tc>
          <w:tcPr>
            <w:tcW w:w="429" w:type="pct"/>
            <w:vAlign w:val="center"/>
          </w:tcPr>
          <w:p w14:paraId="6CF3462E">
            <w:pPr>
              <w:keepNext w:val="0"/>
              <w:keepLines w:val="0"/>
              <w:pageBreakBefore w:val="0"/>
              <w:kinsoku/>
              <w:wordWrap/>
              <w:overflowPunct/>
              <w:topLinePunct w:val="0"/>
              <w:bidi w:val="0"/>
              <w:spacing w:line="360" w:lineRule="exact"/>
              <w:ind w:firstLine="28"/>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lang w:val="en-US" w:eastAsia="zh-CN"/>
              </w:rPr>
              <w:t>9</w:t>
            </w:r>
          </w:p>
        </w:tc>
        <w:tc>
          <w:tcPr>
            <w:tcW w:w="3397" w:type="pct"/>
            <w:vAlign w:val="center"/>
          </w:tcPr>
          <w:p w14:paraId="44E4AA08">
            <w:pPr>
              <w:keepNext w:val="0"/>
              <w:keepLines w:val="0"/>
              <w:pageBreakBefore w:val="0"/>
              <w:tabs>
                <w:tab w:val="left" w:pos="426"/>
              </w:tabs>
              <w:kinsoku/>
              <w:wordWrap/>
              <w:overflowPunct/>
              <w:topLinePunct w:val="0"/>
              <w:autoSpaceDE w:val="0"/>
              <w:autoSpaceDN w:val="0"/>
              <w:bidi w:val="0"/>
              <w:adjustRightInd w:val="0"/>
              <w:spacing w:line="360" w:lineRule="exact"/>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在满足采购文件实质性要求的基础上，供应商拟投入本项目的项目组人员：</w:t>
            </w:r>
          </w:p>
          <w:p w14:paraId="65B8B407">
            <w:pPr>
              <w:keepNext w:val="0"/>
              <w:keepLines w:val="0"/>
              <w:pageBreakBefore w:val="0"/>
              <w:tabs>
                <w:tab w:val="left" w:pos="426"/>
              </w:tabs>
              <w:kinsoku/>
              <w:wordWrap/>
              <w:overflowPunct/>
              <w:topLinePunct w:val="0"/>
              <w:autoSpaceDE w:val="0"/>
              <w:autoSpaceDN w:val="0"/>
              <w:bidi w:val="0"/>
              <w:adjustRightInd w:val="0"/>
              <w:spacing w:line="360" w:lineRule="exac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1.项目组成员具有环境保护类高级职称的，每有一人得</w:t>
            </w:r>
            <w:r>
              <w:rPr>
                <w:rFonts w:hint="eastAsia" w:asciiTheme="minorEastAsia" w:hAnsi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分，最高</w:t>
            </w:r>
            <w:r>
              <w:rPr>
                <w:rFonts w:hint="eastAsia" w:asciiTheme="minorEastAsia" w:hAnsi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b/>
                <w:bCs/>
                <w:color w:val="auto"/>
                <w:sz w:val="24"/>
                <w:highlight w:val="none"/>
              </w:rPr>
              <w:t>响应文件</w:t>
            </w:r>
            <w:r>
              <w:rPr>
                <w:rFonts w:hint="eastAsia" w:asciiTheme="minorEastAsia" w:hAnsiTheme="minorEastAsia" w:eastAsiaTheme="minorEastAsia" w:cstheme="minorEastAsia"/>
                <w:b/>
                <w:bCs/>
                <w:color w:val="auto"/>
                <w:kern w:val="0"/>
                <w:sz w:val="24"/>
                <w:highlight w:val="none"/>
              </w:rPr>
              <w:t>提供有效的证书复印件及</w:t>
            </w:r>
            <w:r>
              <w:rPr>
                <w:rFonts w:hint="eastAsia" w:asciiTheme="minorEastAsia" w:hAnsiTheme="minorEastAsia" w:eastAsiaTheme="minorEastAsia" w:cstheme="minorEastAsia"/>
                <w:b/>
                <w:bCs/>
                <w:color w:val="auto"/>
                <w:sz w:val="24"/>
                <w:highlight w:val="none"/>
              </w:rPr>
              <w:t>供应商为上述人员缴纳的</w:t>
            </w:r>
            <w:r>
              <w:rPr>
                <w:rFonts w:hint="eastAsia" w:asciiTheme="minorEastAsia" w:hAnsiTheme="minorEastAsia" w:eastAsiaTheme="minorEastAsia" w:cstheme="minorEastAsia"/>
                <w:b/>
                <w:bCs/>
                <w:color w:val="auto"/>
                <w:sz w:val="24"/>
                <w:highlight w:val="none"/>
                <w:lang w:val="en-US" w:eastAsia="zh-CN"/>
              </w:rPr>
              <w:t>连续三个月（</w:t>
            </w:r>
            <w:r>
              <w:rPr>
                <w:rFonts w:hint="eastAsia" w:asciiTheme="minorEastAsia" w:hAnsiTheme="minorEastAsia" w:eastAsiaTheme="minorEastAsia" w:cstheme="minorEastAsia"/>
                <w:b/>
                <w:bCs/>
                <w:color w:val="auto"/>
                <w:kern w:val="0"/>
                <w:sz w:val="24"/>
                <w:highlight w:val="none"/>
              </w:rPr>
              <w:t>202</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年</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月-202</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年3月</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社保证明并加盖供应商公章</w:t>
            </w:r>
            <w:r>
              <w:rPr>
                <w:rFonts w:hint="eastAsia" w:asciiTheme="minorEastAsia" w:hAnsiTheme="minorEastAsia" w:eastAsiaTheme="minorEastAsia" w:cstheme="minorEastAsia"/>
                <w:b/>
                <w:bCs/>
                <w:color w:val="auto"/>
                <w:kern w:val="0"/>
                <w:sz w:val="24"/>
                <w:highlight w:val="none"/>
              </w:rPr>
              <w:t>，否则不得分。</w:t>
            </w:r>
          </w:p>
          <w:p w14:paraId="2A87D374">
            <w:pPr>
              <w:keepNext w:val="0"/>
              <w:keepLines w:val="0"/>
              <w:pageBreakBefore w:val="0"/>
              <w:tabs>
                <w:tab w:val="left" w:pos="426"/>
              </w:tabs>
              <w:kinsoku/>
              <w:wordWrap/>
              <w:overflowPunct/>
              <w:topLinePunct w:val="0"/>
              <w:autoSpaceDE w:val="0"/>
              <w:autoSpaceDN w:val="0"/>
              <w:bidi w:val="0"/>
              <w:adjustRightInd w:val="0"/>
              <w:spacing w:line="360" w:lineRule="exac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2.项目组人员为</w:t>
            </w:r>
            <w:r>
              <w:rPr>
                <w:rFonts w:hint="eastAsia" w:asciiTheme="minorEastAsia" w:hAnsiTheme="minorEastAsia" w:eastAsiaTheme="minorEastAsia" w:cstheme="minorEastAsia"/>
                <w:color w:val="auto"/>
                <w:kern w:val="0"/>
                <w:sz w:val="24"/>
                <w:highlight w:val="none"/>
              </w:rPr>
              <w:t>省级以上生态环境损害评估专家库专家的，</w:t>
            </w:r>
            <w:r>
              <w:rPr>
                <w:rFonts w:hint="eastAsia" w:asciiTheme="minorEastAsia" w:hAnsiTheme="minorEastAsia" w:eastAsiaTheme="minorEastAsia" w:cstheme="minorEastAsia"/>
                <w:color w:val="auto"/>
                <w:sz w:val="24"/>
                <w:highlight w:val="none"/>
              </w:rPr>
              <w:t>每有一人得</w:t>
            </w:r>
            <w:r>
              <w:rPr>
                <w:rFonts w:hint="eastAsia" w:asciiTheme="minorEastAsia" w:hAnsi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分，最高</w:t>
            </w:r>
            <w:r>
              <w:rPr>
                <w:rFonts w:hint="eastAsia" w:asciiTheme="minorEastAsia" w:hAnsi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bCs/>
                <w:color w:val="auto"/>
                <w:kern w:val="0"/>
                <w:sz w:val="24"/>
                <w:highlight w:val="none"/>
              </w:rPr>
              <w:t>响应文件提供省级专家库文件复印件及</w:t>
            </w:r>
            <w:r>
              <w:rPr>
                <w:rFonts w:hint="eastAsia" w:asciiTheme="minorEastAsia" w:hAnsiTheme="minorEastAsia" w:eastAsiaTheme="minorEastAsia" w:cstheme="minorEastAsia"/>
                <w:b/>
                <w:bCs/>
                <w:color w:val="auto"/>
                <w:sz w:val="24"/>
                <w:highlight w:val="none"/>
              </w:rPr>
              <w:t>供应商为上述人员缴纳的</w:t>
            </w:r>
            <w:r>
              <w:rPr>
                <w:rFonts w:hint="eastAsia" w:asciiTheme="minorEastAsia" w:hAnsiTheme="minorEastAsia" w:eastAsiaTheme="minorEastAsia" w:cstheme="minorEastAsia"/>
                <w:b/>
                <w:bCs/>
                <w:color w:val="auto"/>
                <w:sz w:val="24"/>
                <w:highlight w:val="none"/>
                <w:lang w:val="en-US" w:eastAsia="zh-CN"/>
              </w:rPr>
              <w:t>连续三个月（</w:t>
            </w:r>
            <w:r>
              <w:rPr>
                <w:rFonts w:hint="eastAsia" w:asciiTheme="minorEastAsia" w:hAnsiTheme="minorEastAsia" w:eastAsiaTheme="minorEastAsia" w:cstheme="minorEastAsia"/>
                <w:b/>
                <w:bCs/>
                <w:color w:val="auto"/>
                <w:kern w:val="0"/>
                <w:sz w:val="24"/>
                <w:highlight w:val="none"/>
              </w:rPr>
              <w:t>202</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年</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月-202</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年3月</w:t>
            </w:r>
            <w:r>
              <w:rPr>
                <w:rFonts w:hint="eastAsia" w:asciiTheme="minorEastAsia" w:hAnsiTheme="minorEastAsia" w:eastAsiaTheme="minorEastAsia" w:cstheme="minorEastAsia"/>
                <w:b/>
                <w:bCs/>
                <w:color w:val="auto"/>
                <w:sz w:val="24"/>
                <w:highlight w:val="none"/>
                <w:lang w:val="en-US" w:eastAsia="zh-CN"/>
              </w:rPr>
              <w:t>）</w:t>
            </w:r>
            <w:r>
              <w:rPr>
                <w:rFonts w:hint="eastAsia" w:asciiTheme="minorEastAsia" w:hAnsiTheme="minorEastAsia" w:eastAsiaTheme="minorEastAsia" w:cstheme="minorEastAsia"/>
                <w:b/>
                <w:bCs/>
                <w:color w:val="auto"/>
                <w:sz w:val="24"/>
                <w:highlight w:val="none"/>
              </w:rPr>
              <w:t>社保证明并加盖供应商公章</w:t>
            </w:r>
            <w:r>
              <w:rPr>
                <w:rFonts w:hint="eastAsia" w:asciiTheme="minorEastAsia" w:hAnsiTheme="minorEastAsia" w:eastAsiaTheme="minorEastAsia" w:cstheme="minorEastAsia"/>
                <w:b/>
                <w:bCs/>
                <w:color w:val="auto"/>
                <w:kern w:val="0"/>
                <w:sz w:val="24"/>
                <w:highlight w:val="none"/>
              </w:rPr>
              <w:t>否则不得分。</w:t>
            </w:r>
          </w:p>
        </w:tc>
      </w:tr>
    </w:tbl>
    <w:p w14:paraId="2DF4C152">
      <w:pPr>
        <w:widowControl/>
        <w:spacing w:line="400" w:lineRule="exact"/>
        <w:ind w:firstLine="480" w:firstLineChars="200"/>
        <w:jc w:val="left"/>
        <w:rPr>
          <w:rFonts w:ascii="宋体" w:hAnsi="宋体" w:cs="宋体"/>
          <w:kern w:val="0"/>
          <w:sz w:val="24"/>
          <w:highlight w:val="none"/>
        </w:rPr>
      </w:pPr>
      <w:r>
        <w:rPr>
          <w:rFonts w:hint="eastAsia" w:ascii="宋体" w:hAnsi="宋体"/>
          <w:bCs/>
          <w:sz w:val="24"/>
          <w:highlight w:val="none"/>
        </w:rPr>
        <w:t xml:space="preserve">注： </w:t>
      </w:r>
    </w:p>
    <w:p w14:paraId="24AAE790">
      <w:pPr>
        <w:spacing w:line="400" w:lineRule="exact"/>
        <w:ind w:firstLine="480" w:firstLineChars="200"/>
        <w:rPr>
          <w:rFonts w:ascii="宋体" w:hAnsi="宋体" w:cs="宋体"/>
          <w:bCs/>
          <w:sz w:val="24"/>
          <w:highlight w:val="none"/>
        </w:rPr>
      </w:pPr>
      <w:r>
        <w:rPr>
          <w:rFonts w:hint="eastAsia" w:ascii="宋体" w:hAnsi="宋体" w:cs="宋体"/>
          <w:bCs/>
          <w:sz w:val="24"/>
          <w:highlight w:val="none"/>
        </w:rPr>
        <w:t>1.评审标准中要求提供的证明及资料等在响应文件中提供复印件，</w:t>
      </w:r>
      <w:r>
        <w:rPr>
          <w:rFonts w:hint="eastAsia" w:ascii="宋体" w:hAnsi="宋体" w:cs="宋体"/>
          <w:b/>
          <w:bCs/>
          <w:sz w:val="24"/>
          <w:highlight w:val="none"/>
        </w:rPr>
        <w:t>复印件须加盖供应商公章，且复印件内容应清晰可辨，如因复印件内容不清晰、不完整造成的扣分或废标等一切后果由供应商自行承担。</w:t>
      </w:r>
      <w:r>
        <w:rPr>
          <w:rFonts w:hint="eastAsia" w:ascii="宋体" w:hAnsi="宋体" w:cs="宋体"/>
          <w:bCs/>
          <w:sz w:val="24"/>
          <w:highlight w:val="none"/>
        </w:rPr>
        <w:t>技术部分相关技术指标、产品性能以响应文件中提供的相关证明材料为准。如出现造假等不符合实际的情况，将作为无效响应处理，并追究供应商相关法律责任。</w:t>
      </w:r>
    </w:p>
    <w:p w14:paraId="1BD5D23C">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2.磋商小组认为</w:t>
      </w:r>
      <w:r>
        <w:rPr>
          <w:rFonts w:ascii="宋体" w:hAnsi="宋体" w:cs="宋体"/>
          <w:bCs/>
          <w:sz w:val="24"/>
          <w:highlight w:val="none"/>
        </w:rPr>
        <w:t>供应商</w:t>
      </w:r>
      <w:r>
        <w:rPr>
          <w:rFonts w:hint="eastAsia" w:ascii="宋体" w:hAnsi="宋体" w:cs="宋体"/>
          <w:bCs/>
          <w:sz w:val="24"/>
          <w:highlight w:val="none"/>
        </w:rPr>
        <w:t>的报价明显低于其他通过符合性审查</w:t>
      </w:r>
      <w:r>
        <w:rPr>
          <w:rFonts w:ascii="宋体" w:hAnsi="宋体" w:cs="宋体"/>
          <w:bCs/>
          <w:sz w:val="24"/>
          <w:highlight w:val="none"/>
        </w:rPr>
        <w:t>的供应商</w:t>
      </w:r>
      <w:r>
        <w:rPr>
          <w:rFonts w:hint="eastAsia" w:ascii="宋体" w:hAnsi="宋体" w:cs="宋体"/>
          <w:bCs/>
          <w:sz w:val="24"/>
          <w:highlight w:val="none"/>
        </w:rPr>
        <w:t>的报价，有可能影响</w:t>
      </w:r>
      <w:r>
        <w:rPr>
          <w:rFonts w:ascii="宋体" w:hAnsi="宋体" w:cs="宋体"/>
          <w:bCs/>
          <w:sz w:val="24"/>
          <w:highlight w:val="none"/>
        </w:rPr>
        <w:t>服务</w:t>
      </w:r>
      <w:r>
        <w:rPr>
          <w:rFonts w:hint="eastAsia" w:ascii="宋体" w:hAnsi="宋体" w:cs="宋体"/>
          <w:bCs/>
          <w:sz w:val="24"/>
          <w:highlight w:val="none"/>
        </w:rPr>
        <w:t>质量或者不能诚信履约的，应当要求其在评标现场合理的时间内提供书面说明，必要时提交相关证明材料；如果</w:t>
      </w:r>
      <w:r>
        <w:rPr>
          <w:rFonts w:ascii="宋体" w:hAnsi="宋体" w:cs="宋体"/>
          <w:bCs/>
          <w:sz w:val="24"/>
          <w:highlight w:val="none"/>
        </w:rPr>
        <w:t>供应商</w:t>
      </w:r>
      <w:r>
        <w:rPr>
          <w:rFonts w:hint="eastAsia" w:ascii="宋体" w:hAnsi="宋体" w:cs="宋体"/>
          <w:bCs/>
          <w:sz w:val="24"/>
          <w:highlight w:val="none"/>
        </w:rPr>
        <w:t>不能证明其报价合理性的，磋商小组应当将其作为无效投标处理。</w:t>
      </w:r>
    </w:p>
    <w:p w14:paraId="1D0C897C">
      <w:pPr>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3</w:t>
      </w:r>
      <w:r>
        <w:rPr>
          <w:rFonts w:ascii="宋体" w:hAnsi="宋体" w:cs="宋体"/>
          <w:bCs/>
          <w:sz w:val="24"/>
          <w:highlight w:val="none"/>
        </w:rPr>
        <w:t>.</w:t>
      </w:r>
      <w:r>
        <w:rPr>
          <w:rFonts w:hint="eastAsia" w:ascii="宋体" w:hAnsi="宋体" w:cs="宋体"/>
          <w:bCs/>
          <w:sz w:val="24"/>
          <w:highlight w:val="none"/>
        </w:rPr>
        <w:t>未能按以上要求提供相应证明的，不作为评审依据，不得分。为便于评分，请供应商按评分表样式，逐条列出证明材料所在页码并编制评分索引表，格式自拟。</w:t>
      </w:r>
    </w:p>
    <w:p w14:paraId="2A07CAC7">
      <w:pPr>
        <w:tabs>
          <w:tab w:val="left" w:pos="5940"/>
        </w:tabs>
        <w:snapToGrid w:val="0"/>
        <w:spacing w:line="360" w:lineRule="auto"/>
        <w:jc w:val="left"/>
        <w:rPr>
          <w:rFonts w:ascii="宋体" w:hAnsi="宋体"/>
          <w:bCs/>
          <w:sz w:val="24"/>
          <w:highlight w:val="none"/>
        </w:rPr>
      </w:pPr>
    </w:p>
    <w:p w14:paraId="2F1D38BB">
      <w:pPr>
        <w:pStyle w:val="2"/>
        <w:rPr>
          <w:rFonts w:hint="default"/>
          <w:highlight w:val="none"/>
          <w:lang w:val="en-US" w:eastAsia="zh-CN"/>
        </w:rPr>
      </w:pPr>
    </w:p>
    <w:p w14:paraId="5A3F791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C7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3">
    <w:name w:val="footnote text"/>
    <w:basedOn w:val="1"/>
    <w:next w:val="2"/>
    <w:qFormat/>
    <w:uiPriority w:val="0"/>
    <w:pPr>
      <w:snapToGrid w:val="0"/>
      <w:spacing w:before="120" w:line="360" w:lineRule="auto"/>
      <w:ind w:firstLine="425"/>
      <w:jc w:val="left"/>
    </w:pPr>
    <w:rPr>
      <w:kern w:val="0"/>
      <w:sz w:val="18"/>
      <w:szCs w:val="20"/>
    </w:rPr>
  </w:style>
  <w:style w:type="paragraph" w:customStyle="1" w:styleId="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
    <w:name w:val="正文 A"/>
    <w:autoRedefine/>
    <w:qFormat/>
    <w:uiPriority w:val="0"/>
    <w:rPr>
      <w:rFonts w:ascii="Times New Roman" w:hAnsi="Times New Roman" w:eastAsia="Times New Roman" w:cs="Times New Roman"/>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2026-04-15T06:10:02Z</dcterms:created>
  <dc:creator>Administrator</dc:creator>
  <cp:lastModifiedBy>润邦招标</cp:lastModifiedBy>
  <dcterms:modified xsi:type="dcterms:W3CDTF">2026-04-15T06:10:50Z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eyJoZGlkIjoiNTJmZWVlOWZjYzk3Y2FmZTNjMTgxNzc0MjhlMWI0YWMiLCJ1c2VySWQiOiIyODkwNTYwODEifQ==</vt:lpwstr>
  </property>
  <property fmtid="{D5CDD505-2E9C-101B-9397-08002B2CF9AE}" pid="4" name="ICV">
    <vt:lpwstr>AFA003C2763A42A69CF9462A77FA1326_12</vt:lpwstr>
  </property>
</Properties>
</file>